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7342B5" w14:textId="77777777" w:rsidR="00A04B70" w:rsidRPr="001B729E" w:rsidRDefault="00A04B70" w:rsidP="001B729E">
      <w:pPr>
        <w:ind w:firstLine="708"/>
        <w:jc w:val="center"/>
        <w:rPr>
          <w:rFonts w:eastAsia="Calibri" w:cs="Times New Roman"/>
          <w:b/>
          <w:sz w:val="28"/>
        </w:rPr>
      </w:pPr>
      <w:r w:rsidRPr="001B729E">
        <w:rPr>
          <w:rFonts w:eastAsia="Calibri" w:cs="Times New Roman"/>
          <w:b/>
          <w:sz w:val="28"/>
        </w:rPr>
        <w:t>Nabywanie kompetencji społecznych</w:t>
      </w:r>
      <w:r w:rsidR="00371D03" w:rsidRPr="001B729E">
        <w:rPr>
          <w:rFonts w:eastAsia="Calibri" w:cs="Times New Roman"/>
          <w:b/>
          <w:sz w:val="28"/>
        </w:rPr>
        <w:t xml:space="preserve"> przez dzieci</w:t>
      </w:r>
      <w:r w:rsidRPr="001B729E">
        <w:rPr>
          <w:rFonts w:eastAsia="Calibri" w:cs="Times New Roman"/>
          <w:b/>
          <w:sz w:val="28"/>
        </w:rPr>
        <w:t xml:space="preserve"> – czy przedszkole jest w stanie temu sprostać?</w:t>
      </w:r>
    </w:p>
    <w:p w14:paraId="2ED2EF06" w14:textId="77777777" w:rsidR="00A04B70" w:rsidRDefault="00A04B70" w:rsidP="00A04B70">
      <w:pPr>
        <w:ind w:firstLine="708"/>
        <w:rPr>
          <w:rFonts w:eastAsia="Calibri" w:cs="Times New Roman"/>
        </w:rPr>
      </w:pPr>
    </w:p>
    <w:p w14:paraId="6D2887C7" w14:textId="77777777" w:rsidR="00A04B70" w:rsidRDefault="00A04B70" w:rsidP="00A04B70">
      <w:pPr>
        <w:ind w:firstLine="708"/>
        <w:rPr>
          <w:rFonts w:eastAsia="Calibri" w:cs="Times New Roman"/>
        </w:rPr>
      </w:pPr>
      <w:r>
        <w:rPr>
          <w:rFonts w:eastAsia="Calibri" w:cs="Times New Roman"/>
        </w:rPr>
        <w:t>Uspołecznianie</w:t>
      </w:r>
      <w:r>
        <w:t xml:space="preserve">, czyli proces, który uczy nas życia z ludźmi pełni bardzo ważną rolę </w:t>
      </w:r>
      <w:r>
        <w:br/>
        <w:t>w holistycznym podejściu do rozwoju dziecka w wieku przedszkolnym. D</w:t>
      </w:r>
      <w:r>
        <w:rPr>
          <w:rFonts w:eastAsia="Calibri" w:cs="Times New Roman"/>
        </w:rPr>
        <w:t xml:space="preserve">otyczy ono </w:t>
      </w:r>
      <w:r>
        <w:rPr>
          <w:rFonts w:eastAsia="Calibri" w:cs="Times New Roman"/>
          <w:i/>
        </w:rPr>
        <w:t xml:space="preserve">gotowości do porzucenia swojej jednostkowej, jednowymiarowej perspektywy myślenia </w:t>
      </w:r>
      <w:r>
        <w:rPr>
          <w:rFonts w:eastAsia="Calibri" w:cs="Times New Roman"/>
          <w:i/>
        </w:rPr>
        <w:br/>
        <w:t>i działania pod wpływem konfliktu poznawczego, wynikającego z poznawania sposobów rozumienia rzeczywistości przez innych ludzi</w:t>
      </w:r>
      <w:r>
        <w:rPr>
          <w:rStyle w:val="Odwoanieprzypisudolnego"/>
          <w:rFonts w:eastAsia="Calibri" w:cs="Times New Roman"/>
          <w:i/>
        </w:rPr>
        <w:footnoteReference w:id="1"/>
      </w:r>
      <w:r>
        <w:rPr>
          <w:rFonts w:eastAsia="Calibri" w:cs="Times New Roman"/>
          <w:i/>
        </w:rPr>
        <w:t xml:space="preserve">. </w:t>
      </w:r>
      <w:r>
        <w:rPr>
          <w:rFonts w:eastAsia="Calibri" w:cs="Times New Roman"/>
        </w:rPr>
        <w:t xml:space="preserve">Nauczyciele wychowania przedszkolnego skupiają się na istotnej wadze rozwijania sfery społecznej. Sposobie w jaki rozwój społeczny dziecka można wspomóc, ułatwić i zoptymalizować. Jak powinien on przebiegać, by ułatwić dziecku funkcjonowanie w społeczeństwie. </w:t>
      </w:r>
    </w:p>
    <w:p w14:paraId="46EDCBE3" w14:textId="77777777" w:rsidR="00A04B70" w:rsidRDefault="00A04B70" w:rsidP="00A04B70">
      <w:pPr>
        <w:ind w:firstLine="708"/>
        <w:rPr>
          <w:rFonts w:eastAsia="Calibri" w:cs="Times New Roman"/>
        </w:rPr>
      </w:pPr>
      <w:r>
        <w:rPr>
          <w:rFonts w:eastAsia="Calibri" w:cs="Times New Roman"/>
        </w:rPr>
        <w:t xml:space="preserve">Sięgając do Podstawy Programowej można trafić na istotny zapis. Zwraca on uwagę na </w:t>
      </w:r>
      <w:r>
        <w:rPr>
          <w:rFonts w:eastAsia="Calibri" w:cs="Times New Roman"/>
          <w:i/>
        </w:rPr>
        <w:t>potrzebę tworzenia relacji</w:t>
      </w:r>
      <w:r>
        <w:rPr>
          <w:rStyle w:val="Odwoanieprzypisudolnego"/>
          <w:rFonts w:eastAsia="Calibri" w:cs="Times New Roman"/>
          <w:i/>
        </w:rPr>
        <w:footnoteReference w:id="2"/>
      </w:r>
      <w:r>
        <w:rPr>
          <w:rFonts w:eastAsia="Calibri" w:cs="Times New Roman"/>
          <w:i/>
        </w:rPr>
        <w:t xml:space="preserve">. </w:t>
      </w:r>
      <w:r>
        <w:rPr>
          <w:rFonts w:eastAsia="Calibri" w:cs="Times New Roman"/>
        </w:rPr>
        <w:t>W obecnych czasach, które są zdominowane przez komunikatory społecznościowe nie trudno podtrzymywać, a nawet tworzyć nowe relacje. Z całą pewnością cechują się one innym charakterem w porównaniu z relacjami tworzonymi w świecie realnym, oderwanym od technologii. Mają jednak wspólną cechę - są nastawione na prowadzenie rozmowy, wymianę myśli, przeżyć i doświadczeń poprzez dialog co najmniej dwóch osób. To właśnie istota tworzenia relacji. Poprzez rozmowę, kontakt z drugim człowiekiem i wsparcie, które dostajemy i dajemy w trudnych chwilach czujemy się akceptowani. Relacja staje się fundamentem socjalizacji.</w:t>
      </w:r>
    </w:p>
    <w:p w14:paraId="2BB3A134" w14:textId="77777777" w:rsidR="00A04B70" w:rsidRDefault="00A04B70" w:rsidP="00A04B70">
      <w:pPr>
        <w:rPr>
          <w:rFonts w:eastAsia="Calibri" w:cs="Times New Roman"/>
        </w:rPr>
      </w:pPr>
      <w:r>
        <w:rPr>
          <w:rFonts w:eastAsia="Calibri" w:cs="Times New Roman"/>
        </w:rPr>
        <w:tab/>
      </w:r>
      <w:r>
        <w:t>Wiek przedszkolny to okres</w:t>
      </w:r>
      <w:r>
        <w:rPr>
          <w:i/>
        </w:rPr>
        <w:t xml:space="preserve"> zwrócenia się - jak mówił Maurice </w:t>
      </w:r>
      <w:proofErr w:type="spellStart"/>
      <w:r>
        <w:rPr>
          <w:i/>
        </w:rPr>
        <w:t>Debesse</w:t>
      </w:r>
      <w:proofErr w:type="spellEnd"/>
      <w:r>
        <w:rPr>
          <w:i/>
        </w:rPr>
        <w:t xml:space="preserve"> - duszy dziecka ku światu, również temu społecznemu. Sprzyja temu poszerzenie świata społecznego </w:t>
      </w:r>
      <w:r>
        <w:rPr>
          <w:i/>
        </w:rPr>
        <w:br/>
        <w:t>o środowisko pozarodzinne – dziecko spotyka innych dorosłych, dzieci starsze, młodsze, rówieśników</w:t>
      </w:r>
      <w:r>
        <w:rPr>
          <w:rStyle w:val="Odwoanieprzypisudolnego"/>
          <w:i/>
        </w:rPr>
        <w:footnoteReference w:id="3"/>
      </w:r>
      <w:r>
        <w:rPr>
          <w:i/>
        </w:rPr>
        <w:t xml:space="preserve">. </w:t>
      </w:r>
      <w:r>
        <w:t xml:space="preserve">W przedszkolu bardzo ważne jest uczenie życia z innymi ludźmi. Stwarzania warunków do bycia razem, wspólnej zabawy, nauki. Uczenia rozwiązywania bieżących konfliktów z poszanowaniem drugiej osoby. </w:t>
      </w:r>
      <w:r>
        <w:rPr>
          <w:rFonts w:eastAsia="Calibri" w:cs="Times New Roman"/>
          <w:i/>
        </w:rPr>
        <w:t xml:space="preserve">Wspomaganie dziecka w zakresie budowania pozytywnych kontaktów z otoczeniem oraz rozpoznawania i kontrolowania emocji powinno </w:t>
      </w:r>
      <w:r>
        <w:rPr>
          <w:rFonts w:eastAsia="Calibri" w:cs="Times New Roman"/>
          <w:i/>
        </w:rPr>
        <w:lastRenderedPageBreak/>
        <w:t>odbywać się w ciągu całego pobytu dziecka w przedszkolu</w:t>
      </w:r>
      <w:r>
        <w:rPr>
          <w:rStyle w:val="Odwoanieprzypisudolnego"/>
          <w:rFonts w:eastAsia="Calibri" w:cs="Times New Roman"/>
          <w:i/>
        </w:rPr>
        <w:footnoteReference w:id="4"/>
      </w:r>
      <w:r>
        <w:rPr>
          <w:rFonts w:eastAsia="Calibri" w:cs="Times New Roman"/>
          <w:i/>
        </w:rPr>
        <w:t>.</w:t>
      </w:r>
      <w:r>
        <w:rPr>
          <w:rFonts w:eastAsia="Calibri" w:cs="Times New Roman"/>
        </w:rPr>
        <w:t xml:space="preserve"> Zatem od momentu przekroczenia drzwi przedszkolnej sali dziecko permanentnie się socjalizuje.</w:t>
      </w:r>
    </w:p>
    <w:p w14:paraId="253C0449" w14:textId="77777777" w:rsidR="00A04B70" w:rsidRPr="00A04B70" w:rsidRDefault="00A04B70" w:rsidP="00A04B70">
      <w:pPr>
        <w:rPr>
          <w:rFonts w:eastAsia="Calibri" w:cs="Times New Roman"/>
        </w:rPr>
      </w:pPr>
      <w:r w:rsidRPr="00A04B70">
        <w:rPr>
          <w:rFonts w:eastAsia="Calibri" w:cs="Times New Roman"/>
        </w:rPr>
        <w:t xml:space="preserve">O wartości kontaktów interpersonalnych w wieku przedszkolnym mogą świadczyć wypowiedzi dzieci, które dotyczą współdziałania. Trafiają w sedno sensu budowania zdrowych relacji i kształtowania sfery społecznej. Kilka z zebranych w książce „Dziecko w świecie współdziałania” brzmi następująco: </w:t>
      </w:r>
    </w:p>
    <w:p w14:paraId="0A7D276F" w14:textId="77777777" w:rsidR="00A04B70" w:rsidRPr="00A04B70" w:rsidRDefault="00A04B70" w:rsidP="00A04B70">
      <w:pPr>
        <w:numPr>
          <w:ilvl w:val="0"/>
          <w:numId w:val="1"/>
        </w:numPr>
        <w:contextualSpacing/>
        <w:rPr>
          <w:rFonts w:eastAsia="Calibri" w:cs="Times New Roman"/>
          <w:i/>
        </w:rPr>
      </w:pPr>
      <w:r w:rsidRPr="00A04B70">
        <w:rPr>
          <w:rFonts w:eastAsia="Calibri" w:cs="Times New Roman"/>
          <w:i/>
        </w:rPr>
        <w:t>„Dzieci robią coś razem, bo samemu jest smutno, a razem jest weselej. A jak jeden się zmęczy, to drugi zrobi za niego.” (Michasia, 6 lat)</w:t>
      </w:r>
    </w:p>
    <w:p w14:paraId="7E5E88AA" w14:textId="77777777" w:rsidR="00A04B70" w:rsidRPr="00A04B70" w:rsidRDefault="00A04B70" w:rsidP="00A04B70">
      <w:pPr>
        <w:numPr>
          <w:ilvl w:val="0"/>
          <w:numId w:val="1"/>
        </w:numPr>
        <w:contextualSpacing/>
        <w:rPr>
          <w:rFonts w:eastAsia="Calibri" w:cs="Times New Roman"/>
          <w:i/>
        </w:rPr>
      </w:pPr>
      <w:r w:rsidRPr="00A04B70">
        <w:rPr>
          <w:rFonts w:eastAsia="Calibri" w:cs="Times New Roman"/>
          <w:i/>
        </w:rPr>
        <w:t xml:space="preserve">„Współpraca jest wtedy, kiedy się razem pracuje. Pracować razem jest lepiej, bo się szybciej robi. Wolę robić z kimś, bo jest </w:t>
      </w:r>
      <w:proofErr w:type="gramStart"/>
      <w:r w:rsidRPr="00A04B70">
        <w:rPr>
          <w:rFonts w:eastAsia="Calibri" w:cs="Times New Roman"/>
          <w:i/>
        </w:rPr>
        <w:t>fajnie</w:t>
      </w:r>
      <w:proofErr w:type="gramEnd"/>
      <w:r w:rsidRPr="00A04B70">
        <w:rPr>
          <w:rFonts w:eastAsia="Calibri" w:cs="Times New Roman"/>
          <w:i/>
        </w:rPr>
        <w:t>” (Agnieszka, 7 lat)</w:t>
      </w:r>
      <w:r w:rsidRPr="00A04B70">
        <w:rPr>
          <w:rFonts w:eastAsia="Calibri" w:cs="Times New Roman"/>
          <w:i/>
          <w:vertAlign w:val="superscript"/>
        </w:rPr>
        <w:footnoteReference w:id="5"/>
      </w:r>
    </w:p>
    <w:p w14:paraId="0BADDC92" w14:textId="77777777" w:rsidR="00A04B70" w:rsidRDefault="00A04B70" w:rsidP="00A04B70">
      <w:pPr>
        <w:ind w:firstLine="0"/>
      </w:pPr>
    </w:p>
    <w:p w14:paraId="27F3756D" w14:textId="77777777" w:rsidR="00A04B70" w:rsidRDefault="00A04B70" w:rsidP="00A04B70">
      <w:pPr>
        <w:ind w:firstLine="708"/>
        <w:rPr>
          <w:rFonts w:eastAsia="Calibri" w:cs="Times New Roman"/>
        </w:rPr>
      </w:pPr>
      <w:r>
        <w:rPr>
          <w:rFonts w:eastAsia="Calibri" w:cs="Times New Roman"/>
        </w:rPr>
        <w:t xml:space="preserve">Istotnym zadaniem przedszkola jest kształtowanie takich cech i postaw </w:t>
      </w:r>
      <w:r>
        <w:rPr>
          <w:rFonts w:eastAsia="Calibri" w:cs="Times New Roman"/>
        </w:rPr>
        <w:br/>
        <w:t xml:space="preserve">w dziecku, które pozwolą aktywnie uczestniczyć w życiu społecznym. To przedszkole jest miejscem, w którym </w:t>
      </w:r>
      <w:r>
        <w:rPr>
          <w:rFonts w:eastAsia="Calibri" w:cs="Times New Roman"/>
          <w:i/>
        </w:rPr>
        <w:t>dziecko po raz pierwszy pełni rolę członka większej zbiorowości</w:t>
      </w:r>
      <w:r>
        <w:rPr>
          <w:rStyle w:val="Odwoanieprzypisudolnego"/>
          <w:rFonts w:eastAsia="Calibri" w:cs="Times New Roman"/>
        </w:rPr>
        <w:footnoteReference w:id="6"/>
      </w:r>
      <w:r>
        <w:rPr>
          <w:rFonts w:eastAsia="Calibri" w:cs="Times New Roman"/>
          <w:i/>
        </w:rPr>
        <w:t>.</w:t>
      </w:r>
      <w:r>
        <w:rPr>
          <w:rFonts w:eastAsia="Calibri" w:cs="Times New Roman"/>
        </w:rPr>
        <w:t xml:space="preserve"> Grupa rówieśnicza jest miejscem zaspokajania potrzeby bezpośredniego kontaktu z drugim człowiekiem, wspólnej zabawy i zdobywania nowych doświadczeń. Jak zauważa B. </w:t>
      </w:r>
      <w:proofErr w:type="spellStart"/>
      <w:r>
        <w:rPr>
          <w:rFonts w:eastAsia="Calibri" w:cs="Times New Roman"/>
        </w:rPr>
        <w:t>Bonna</w:t>
      </w:r>
      <w:proofErr w:type="spellEnd"/>
      <w:r>
        <w:rPr>
          <w:rFonts w:eastAsia="Calibri" w:cs="Times New Roman"/>
        </w:rPr>
        <w:t xml:space="preserve"> </w:t>
      </w:r>
      <w:r>
        <w:rPr>
          <w:rFonts w:eastAsia="Calibri" w:cs="Times New Roman"/>
          <w:i/>
        </w:rPr>
        <w:t xml:space="preserve">kształtowanie [postaw społecznych i moralnych] odbywa się przede wszystkim w przedszkolu, bowiem w nim dziecko ma możliwość uczenia się różnorodnych </w:t>
      </w:r>
      <w:proofErr w:type="spellStart"/>
      <w:r>
        <w:rPr>
          <w:rFonts w:eastAsia="Calibri" w:cs="Times New Roman"/>
          <w:i/>
        </w:rPr>
        <w:t>zachowań</w:t>
      </w:r>
      <w:proofErr w:type="spellEnd"/>
      <w:r>
        <w:rPr>
          <w:rFonts w:eastAsia="Calibri" w:cs="Times New Roman"/>
          <w:i/>
        </w:rPr>
        <w:t xml:space="preserve"> społecznych</w:t>
      </w:r>
      <w:r>
        <w:rPr>
          <w:rStyle w:val="Odwoanieprzypisudolnego"/>
          <w:rFonts w:eastAsia="Calibri" w:cs="Times New Roman"/>
          <w:i/>
        </w:rPr>
        <w:footnoteReference w:id="7"/>
      </w:r>
      <w:r>
        <w:rPr>
          <w:rFonts w:eastAsia="Calibri" w:cs="Times New Roman"/>
          <w:i/>
        </w:rPr>
        <w:t xml:space="preserve">. </w:t>
      </w:r>
      <w:r>
        <w:rPr>
          <w:rFonts w:eastAsia="Calibri" w:cs="Times New Roman"/>
        </w:rPr>
        <w:t>Tak rozumiana celowość podjęcia przez dziecko nauki w szkole potwierdza istotną rolę, jaką pełni placówka w procesie rozwijania sfery społecznej w wieku przedszkolnym.</w:t>
      </w:r>
    </w:p>
    <w:p w14:paraId="41ECACC4" w14:textId="77777777" w:rsidR="00A04B70" w:rsidRDefault="00A04B70" w:rsidP="00A04B70">
      <w:pPr>
        <w:ind w:firstLine="0"/>
      </w:pPr>
      <w:r>
        <w:rPr>
          <w:noProof/>
        </w:rPr>
        <w:lastRenderedPageBreak/>
        <w:drawing>
          <wp:inline distT="0" distB="0" distL="0" distR="0" wp14:anchorId="1458D3DB" wp14:editId="2EC4310E">
            <wp:extent cx="4775200" cy="6366933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690" cy="6368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ACB0B3" w14:textId="77777777" w:rsidR="00A04B70" w:rsidRDefault="00A04B70" w:rsidP="00A04B70">
      <w:pPr>
        <w:ind w:firstLine="0"/>
      </w:pPr>
      <w:r>
        <w:rPr>
          <w:noProof/>
        </w:rPr>
        <w:lastRenderedPageBreak/>
        <w:drawing>
          <wp:inline distT="0" distB="0" distL="0" distR="0" wp14:anchorId="379ABE47" wp14:editId="46827B9D">
            <wp:extent cx="5554133" cy="4165600"/>
            <wp:effectExtent l="0" t="0" r="889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513" cy="417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71D03">
        <w:rPr>
          <w:noProof/>
        </w:rPr>
        <w:drawing>
          <wp:inline distT="0" distB="0" distL="0" distR="0" wp14:anchorId="16CD1D5D" wp14:editId="55EC3EC4">
            <wp:extent cx="5672667" cy="4254500"/>
            <wp:effectExtent l="0" t="0" r="444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313" cy="4256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03802C" w14:textId="77777777" w:rsidR="00A04B70" w:rsidRDefault="00A04B70" w:rsidP="00A04B70">
      <w:pPr>
        <w:ind w:firstLine="0"/>
      </w:pPr>
      <w:r>
        <w:rPr>
          <w:noProof/>
        </w:rPr>
        <w:lastRenderedPageBreak/>
        <w:drawing>
          <wp:inline distT="0" distB="0" distL="0" distR="0" wp14:anchorId="6330D811" wp14:editId="63DDEF79">
            <wp:extent cx="5358977" cy="4019233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4024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71D03">
        <w:rPr>
          <w:noProof/>
        </w:rPr>
        <w:lastRenderedPageBreak/>
        <w:drawing>
          <wp:inline distT="0" distB="0" distL="0" distR="0" wp14:anchorId="5438D2FE" wp14:editId="2303328B">
            <wp:extent cx="4705350" cy="62738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174" cy="6274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04B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F78C9" w14:textId="77777777" w:rsidR="00FB591F" w:rsidRDefault="00FB591F" w:rsidP="00A04B70">
      <w:pPr>
        <w:spacing w:line="240" w:lineRule="auto"/>
      </w:pPr>
      <w:r>
        <w:separator/>
      </w:r>
    </w:p>
  </w:endnote>
  <w:endnote w:type="continuationSeparator" w:id="0">
    <w:p w14:paraId="44FF8972" w14:textId="77777777" w:rsidR="00FB591F" w:rsidRDefault="00FB591F" w:rsidP="00A04B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85160" w14:textId="77777777" w:rsidR="00FB591F" w:rsidRDefault="00FB591F" w:rsidP="00A04B70">
      <w:pPr>
        <w:spacing w:line="240" w:lineRule="auto"/>
      </w:pPr>
      <w:r>
        <w:separator/>
      </w:r>
    </w:p>
  </w:footnote>
  <w:footnote w:type="continuationSeparator" w:id="0">
    <w:p w14:paraId="66327ED3" w14:textId="77777777" w:rsidR="00FB591F" w:rsidRDefault="00FB591F" w:rsidP="00A04B70">
      <w:pPr>
        <w:spacing w:line="240" w:lineRule="auto"/>
      </w:pPr>
      <w:r>
        <w:continuationSeparator/>
      </w:r>
    </w:p>
  </w:footnote>
  <w:footnote w:id="1">
    <w:p w14:paraId="386CE49A" w14:textId="77777777" w:rsidR="00A04B70" w:rsidRDefault="00A04B70" w:rsidP="00A04B70">
      <w:pPr>
        <w:pStyle w:val="Tekstprzypisudolnego"/>
        <w:spacing w:line="240" w:lineRule="auto"/>
        <w:ind w:firstLine="0"/>
        <w:jc w:val="left"/>
      </w:pPr>
      <w:r>
        <w:rPr>
          <w:rStyle w:val="Odwoanieprzypisudolnego"/>
        </w:rPr>
        <w:footnoteRef/>
      </w:r>
      <w:r>
        <w:t xml:space="preserve">   J. </w:t>
      </w:r>
      <w:proofErr w:type="spellStart"/>
      <w:r>
        <w:t>Matejczuk</w:t>
      </w:r>
      <w:proofErr w:type="spellEnd"/>
      <w:r>
        <w:t>, Rozwój dziecka, Wiek przedszkolny, Niezbędnik Dobrego Nauczyciela, Seria I, Rozwój w okresie dzieciństwa i dorastania, tom 2, Warszawa 2014, s. 36, red. A. Izabela Brzezińska</w:t>
      </w:r>
    </w:p>
  </w:footnote>
  <w:footnote w:id="2">
    <w:p w14:paraId="448AC6E1" w14:textId="77777777" w:rsidR="00A04B70" w:rsidRDefault="00A04B70" w:rsidP="00A04B70">
      <w:pPr>
        <w:pStyle w:val="Tekstprzypisudolnego"/>
        <w:spacing w:line="240" w:lineRule="auto"/>
        <w:ind w:firstLine="0"/>
        <w:jc w:val="left"/>
        <w:rPr>
          <w:rFonts w:cs="Times New Roman"/>
        </w:rPr>
      </w:pPr>
      <w:r>
        <w:rPr>
          <w:rStyle w:val="Odwoanieprzypisudolnego"/>
          <w:rFonts w:cs="Times New Roman"/>
        </w:rPr>
        <w:footnoteRef/>
      </w:r>
      <w:r>
        <w:rPr>
          <w:rFonts w:cs="Times New Roman"/>
        </w:rPr>
        <w:t xml:space="preserve"> Rozporządzenie Ministra Edukacji Narodowej z dnia 14 lutego 2017 r. w sprawie podstawy programowej wychowania przedszkolnego oraz podstawy programowej kształcenia ogólnego dla szkoły podstawowej, w tym dla uczniów z niepełnosprawnością intelektualną w stopniu umiarkowanym lub znacznym, kształcenia ogólnego dla branżowej szkoły I stopnia, kształcenia ogólnego dla szkoły specjalnej przysposabiającej do pracy oraz kształcenia ogólnego dla szkoły policealnej.  s.2</w:t>
      </w:r>
    </w:p>
  </w:footnote>
  <w:footnote w:id="3">
    <w:p w14:paraId="1AFC84E6" w14:textId="77777777" w:rsidR="00A04B70" w:rsidRDefault="00A04B70" w:rsidP="00A04B70">
      <w:pPr>
        <w:pStyle w:val="Tekstprzypisudolnego"/>
        <w:spacing w:line="240" w:lineRule="auto"/>
        <w:ind w:firstLine="0"/>
        <w:jc w:val="left"/>
      </w:pPr>
      <w:r>
        <w:rPr>
          <w:rStyle w:val="Odwoanieprzypisudolnego"/>
        </w:rPr>
        <w:footnoteRef/>
      </w:r>
      <w:r>
        <w:t xml:space="preserve"> J. </w:t>
      </w:r>
      <w:proofErr w:type="spellStart"/>
      <w:r>
        <w:t>Matejczuk</w:t>
      </w:r>
      <w:proofErr w:type="spellEnd"/>
      <w:r>
        <w:t>, Rozwój dziecka Wiek przedszkolny, Niezbędnik Dobrego Nauczyciela, Seria I, Rozwój w okresie dzieciństwa i dorastania, tom 2, Warszawa 2014, s. 29, red. A. Izabela Brzezińska</w:t>
      </w:r>
    </w:p>
  </w:footnote>
  <w:footnote w:id="4">
    <w:p w14:paraId="64833941" w14:textId="77777777" w:rsidR="00A04B70" w:rsidRDefault="00A04B70" w:rsidP="00A04B70">
      <w:pPr>
        <w:pStyle w:val="Tekstprzypisudolnego"/>
        <w:spacing w:line="240" w:lineRule="auto"/>
        <w:ind w:firstLine="0"/>
        <w:jc w:val="left"/>
      </w:pPr>
      <w:r>
        <w:rPr>
          <w:rStyle w:val="Odwoanieprzypisudolnego"/>
        </w:rPr>
        <w:footnoteRef/>
      </w:r>
      <w:r>
        <w:t xml:space="preserve"> E. Tokarska, J. Kopała, Zanim będę uczniem. Program wychowania przedszkolnego, Warszawa 2009, s.149</w:t>
      </w:r>
    </w:p>
  </w:footnote>
  <w:footnote w:id="5">
    <w:p w14:paraId="19385A51" w14:textId="77777777" w:rsidR="00A04B70" w:rsidRDefault="00A04B70" w:rsidP="00A04B70">
      <w:pPr>
        <w:pStyle w:val="Tekstprzypisudolnego"/>
        <w:spacing w:line="240" w:lineRule="auto"/>
        <w:ind w:firstLine="0"/>
        <w:jc w:val="left"/>
      </w:pPr>
      <w:r>
        <w:rPr>
          <w:rStyle w:val="Odwoanieprzypisudolnego"/>
        </w:rPr>
        <w:footnoteRef/>
      </w:r>
      <w:r>
        <w:t xml:space="preserve"> B. </w:t>
      </w:r>
      <w:proofErr w:type="spellStart"/>
      <w:r>
        <w:t>Dymara</w:t>
      </w:r>
      <w:proofErr w:type="spellEnd"/>
      <w:r>
        <w:t>, Dziecko w świecie współdziałania, Kraków 2001, s. 80.</w:t>
      </w:r>
    </w:p>
  </w:footnote>
  <w:footnote w:id="6">
    <w:p w14:paraId="21ED97E4" w14:textId="77777777" w:rsidR="00A04B70" w:rsidRDefault="00A04B70" w:rsidP="00A04B70">
      <w:pPr>
        <w:pStyle w:val="Tekstprzypisudolnego"/>
        <w:spacing w:line="240" w:lineRule="auto"/>
        <w:ind w:firstLine="0"/>
        <w:jc w:val="left"/>
      </w:pPr>
      <w:r>
        <w:rPr>
          <w:rStyle w:val="Odwoanieprzypisudolnego"/>
        </w:rPr>
        <w:footnoteRef/>
      </w:r>
      <w:r>
        <w:t xml:space="preserve"> E. Tokarska, J. Kopała, Zanim będę uczniem. Program wychowania przedszkolnego, Warszawa 2009, s.22</w:t>
      </w:r>
    </w:p>
  </w:footnote>
  <w:footnote w:id="7">
    <w:p w14:paraId="32E8BDBA" w14:textId="77777777" w:rsidR="00A04B70" w:rsidRDefault="00A04B70" w:rsidP="00A04B70">
      <w:pPr>
        <w:pStyle w:val="Tekstprzypisudolnego"/>
        <w:spacing w:line="240" w:lineRule="auto"/>
        <w:ind w:firstLine="0"/>
        <w:jc w:val="left"/>
      </w:pPr>
      <w:r>
        <w:rPr>
          <w:rStyle w:val="Odwoanieprzypisudolnego"/>
        </w:rPr>
        <w:footnoteRef/>
      </w:r>
      <w:r>
        <w:t xml:space="preserve"> B. </w:t>
      </w:r>
      <w:proofErr w:type="spellStart"/>
      <w:r>
        <w:t>Bonna</w:t>
      </w:r>
      <w:proofErr w:type="spellEnd"/>
      <w:r>
        <w:t>, Rozwój i kształcenie dziecka przedszkolnego, Wychowanie na co Dzień, 2003, nr 1-2, s.11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2C2860"/>
    <w:multiLevelType w:val="hybridMultilevel"/>
    <w:tmpl w:val="4F3E4C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B70"/>
    <w:rsid w:val="001B729E"/>
    <w:rsid w:val="00371D03"/>
    <w:rsid w:val="009B0472"/>
    <w:rsid w:val="00A04B70"/>
    <w:rsid w:val="00B03389"/>
    <w:rsid w:val="00B77405"/>
    <w:rsid w:val="00D30E85"/>
    <w:rsid w:val="00FB5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E4616"/>
  <w15:chartTrackingRefBased/>
  <w15:docId w15:val="{BD98EF65-20B9-4331-A55A-558700E4B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04B70"/>
    <w:pPr>
      <w:spacing w:after="0" w:line="360" w:lineRule="auto"/>
      <w:ind w:firstLine="709"/>
      <w:jc w:val="both"/>
    </w:pPr>
    <w:rPr>
      <w:rFonts w:ascii="Times New Roman" w:eastAsia="Arial Unicode MS" w:hAnsi="Times New Roman" w:cs="Wingdings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A04B70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uiPriority w:val="99"/>
    <w:semiHidden/>
    <w:rsid w:val="00A04B70"/>
    <w:rPr>
      <w:rFonts w:ascii="Times New Roman" w:eastAsia="Arial Unicode MS" w:hAnsi="Times New Roman" w:cs="Wingdings"/>
      <w:kern w:val="2"/>
      <w:sz w:val="20"/>
      <w:szCs w:val="20"/>
      <w:lang w:eastAsia="ar-SA"/>
    </w:rPr>
  </w:style>
  <w:style w:type="character" w:styleId="Odwoanieprzypisudolnego">
    <w:name w:val="footnote reference"/>
    <w:uiPriority w:val="99"/>
    <w:semiHidden/>
    <w:unhideWhenUsed/>
    <w:rsid w:val="00A04B70"/>
    <w:rPr>
      <w:vertAlign w:val="superscript"/>
    </w:rPr>
  </w:style>
  <w:style w:type="character" w:customStyle="1" w:styleId="TekstprzypisudolnegoZnak1">
    <w:name w:val="Tekst przypisu dolnego Znak1"/>
    <w:link w:val="Tekstprzypisudolnego"/>
    <w:uiPriority w:val="99"/>
    <w:semiHidden/>
    <w:locked/>
    <w:rsid w:val="00A04B70"/>
    <w:rPr>
      <w:rFonts w:ascii="Times New Roman" w:eastAsia="Arial Unicode MS" w:hAnsi="Times New Roman" w:cs="Wingdings"/>
      <w:kern w:val="2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04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506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Lucjan Toton</cp:lastModifiedBy>
  <cp:revision>2</cp:revision>
  <dcterms:created xsi:type="dcterms:W3CDTF">2022-02-07T19:14:00Z</dcterms:created>
  <dcterms:modified xsi:type="dcterms:W3CDTF">2022-02-07T19:14:00Z</dcterms:modified>
</cp:coreProperties>
</file>